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E88" w:rsidRDefault="008F0E8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F0E88" w:rsidRDefault="008F0E88">
      <w:pPr>
        <w:pStyle w:val="ConsPlusNormal"/>
        <w:jc w:val="both"/>
        <w:outlineLvl w:val="0"/>
      </w:pPr>
    </w:p>
    <w:p w:rsidR="008F0E88" w:rsidRDefault="008F0E88">
      <w:pPr>
        <w:pStyle w:val="ConsPlusNormal"/>
        <w:outlineLvl w:val="0"/>
      </w:pPr>
      <w:r>
        <w:t>Зарегистрировано в Минюсте России 8 декабря 2015 г. N 40000</w:t>
      </w:r>
    </w:p>
    <w:p w:rsidR="008F0E88" w:rsidRDefault="008F0E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F0E88" w:rsidRDefault="008F0E88">
      <w:pPr>
        <w:pStyle w:val="ConsPlusNormal"/>
        <w:jc w:val="both"/>
      </w:pPr>
    </w:p>
    <w:p w:rsidR="008F0E88" w:rsidRDefault="008F0E88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8F0E88" w:rsidRDefault="008F0E88">
      <w:pPr>
        <w:pStyle w:val="ConsPlusTitle"/>
        <w:jc w:val="center"/>
      </w:pPr>
    </w:p>
    <w:p w:rsidR="008F0E88" w:rsidRDefault="008F0E88">
      <w:pPr>
        <w:pStyle w:val="ConsPlusTitle"/>
        <w:jc w:val="center"/>
      </w:pPr>
      <w:r>
        <w:t>ПРИКАЗ</w:t>
      </w:r>
    </w:p>
    <w:p w:rsidR="008F0E88" w:rsidRDefault="008F0E88">
      <w:pPr>
        <w:pStyle w:val="ConsPlusTitle"/>
        <w:jc w:val="center"/>
      </w:pPr>
      <w:r>
        <w:t>от 9 ноября 2015 г. N 1309</w:t>
      </w:r>
    </w:p>
    <w:p w:rsidR="008F0E88" w:rsidRDefault="008F0E88">
      <w:pPr>
        <w:pStyle w:val="ConsPlusTitle"/>
        <w:jc w:val="center"/>
      </w:pPr>
    </w:p>
    <w:p w:rsidR="008F0E88" w:rsidRDefault="008F0E88">
      <w:pPr>
        <w:pStyle w:val="ConsPlusTitle"/>
        <w:jc w:val="center"/>
      </w:pPr>
      <w:r>
        <w:t>ОБ УТВЕРЖДЕНИИ ПОРЯДКА</w:t>
      </w:r>
    </w:p>
    <w:p w:rsidR="008F0E88" w:rsidRDefault="008F0E88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8F0E88" w:rsidRDefault="008F0E88">
      <w:pPr>
        <w:pStyle w:val="ConsPlusTitle"/>
        <w:jc w:val="center"/>
      </w:pPr>
      <w:r>
        <w:t>И ПРЕДОСТАВЛЯЕМЫХ УСЛУГ В СФЕРЕ ОБРАЗОВАНИЯ, А ТАКЖЕ</w:t>
      </w:r>
    </w:p>
    <w:p w:rsidR="008F0E88" w:rsidRDefault="008F0E88">
      <w:pPr>
        <w:pStyle w:val="ConsPlusTitle"/>
        <w:jc w:val="center"/>
      </w:pPr>
      <w:r>
        <w:t>ОКАЗАНИЯ ИМ ПРИ ЭТОМ НЕОБХОДИМОЙ ПОМОЩИ</w:t>
      </w:r>
    </w:p>
    <w:p w:rsidR="008F0E88" w:rsidRDefault="008F0E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0E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E88" w:rsidRDefault="008F0E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E88" w:rsidRDefault="008F0E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E88" w:rsidRDefault="008F0E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E88" w:rsidRDefault="008F0E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18.08.2016 N 1065)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E88" w:rsidRDefault="008F0E88">
            <w:pPr>
              <w:pStyle w:val="ConsPlusNormal"/>
            </w:pPr>
          </w:p>
        </w:tc>
      </w:tr>
    </w:tbl>
    <w:p w:rsidR="008F0E88" w:rsidRDefault="008F0E88">
      <w:pPr>
        <w:pStyle w:val="ConsPlusNormal"/>
        <w:jc w:val="center"/>
      </w:pPr>
    </w:p>
    <w:p w:rsidR="008F0E88" w:rsidRDefault="008F0E88">
      <w:pPr>
        <w:pStyle w:val="ConsPlusNormal"/>
        <w:ind w:firstLine="540"/>
        <w:jc w:val="both"/>
      </w:pPr>
      <w:proofErr w:type="gramStart"/>
      <w:r>
        <w:t>В соответствии с подпунктом 5.2.73(13)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3776; 2015, N 26, ст. 3898; N 43, ст. 5976), приказываю: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r>
        <w:t xml:space="preserve">1. Утвердить по согласованию с Министерством труда и социальной защиты Российской Федерации прилагаемый </w:t>
      </w:r>
      <w:hyperlink w:anchor="P34">
        <w:r>
          <w:rPr>
            <w:color w:val="0000FF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2016 года.</w:t>
      </w:r>
    </w:p>
    <w:p w:rsidR="008F0E88" w:rsidRDefault="008F0E88">
      <w:pPr>
        <w:pStyle w:val="ConsPlusNormal"/>
        <w:jc w:val="both"/>
      </w:pPr>
    </w:p>
    <w:p w:rsidR="008F0E88" w:rsidRDefault="008F0E88">
      <w:pPr>
        <w:pStyle w:val="ConsPlusNormal"/>
        <w:jc w:val="right"/>
      </w:pPr>
      <w:r>
        <w:t>Министр</w:t>
      </w:r>
    </w:p>
    <w:p w:rsidR="008F0E88" w:rsidRDefault="008F0E88">
      <w:pPr>
        <w:pStyle w:val="ConsPlusNormal"/>
        <w:jc w:val="right"/>
      </w:pPr>
      <w:r>
        <w:t>Д.В.ЛИВАНОВ</w:t>
      </w:r>
    </w:p>
    <w:p w:rsidR="008F0E88" w:rsidRDefault="008F0E88">
      <w:pPr>
        <w:pStyle w:val="ConsPlusNormal"/>
        <w:jc w:val="both"/>
      </w:pPr>
    </w:p>
    <w:p w:rsidR="008F0E88" w:rsidRDefault="008F0E88">
      <w:pPr>
        <w:pStyle w:val="ConsPlusNormal"/>
        <w:jc w:val="both"/>
      </w:pPr>
    </w:p>
    <w:p w:rsidR="008F0E88" w:rsidRDefault="008F0E88">
      <w:pPr>
        <w:pStyle w:val="ConsPlusNormal"/>
        <w:jc w:val="both"/>
      </w:pPr>
    </w:p>
    <w:p w:rsidR="008F0E88" w:rsidRDefault="008F0E88">
      <w:pPr>
        <w:pStyle w:val="ConsPlusNormal"/>
        <w:jc w:val="both"/>
      </w:pPr>
    </w:p>
    <w:p w:rsidR="008F0E88" w:rsidRDefault="008F0E88">
      <w:pPr>
        <w:pStyle w:val="ConsPlusNormal"/>
        <w:jc w:val="both"/>
      </w:pPr>
    </w:p>
    <w:p w:rsidR="008F0E88" w:rsidRDefault="008F0E88">
      <w:pPr>
        <w:pStyle w:val="ConsPlusNormal"/>
        <w:jc w:val="right"/>
        <w:outlineLvl w:val="0"/>
      </w:pPr>
      <w:r>
        <w:t>Приложение</w:t>
      </w:r>
    </w:p>
    <w:p w:rsidR="008F0E88" w:rsidRDefault="008F0E88">
      <w:pPr>
        <w:pStyle w:val="ConsPlusNormal"/>
        <w:jc w:val="both"/>
      </w:pPr>
    </w:p>
    <w:p w:rsidR="008F0E88" w:rsidRDefault="008F0E88">
      <w:pPr>
        <w:pStyle w:val="ConsPlusNormal"/>
        <w:jc w:val="right"/>
      </w:pPr>
      <w:r>
        <w:t>Утвержден</w:t>
      </w:r>
    </w:p>
    <w:p w:rsidR="008F0E88" w:rsidRDefault="008F0E88">
      <w:pPr>
        <w:pStyle w:val="ConsPlusNormal"/>
        <w:jc w:val="right"/>
      </w:pPr>
      <w:r>
        <w:t>приказом Министерства образования</w:t>
      </w:r>
    </w:p>
    <w:p w:rsidR="008F0E88" w:rsidRDefault="008F0E88">
      <w:pPr>
        <w:pStyle w:val="ConsPlusNormal"/>
        <w:jc w:val="right"/>
      </w:pPr>
      <w:r>
        <w:t>и науки Российской Федерации</w:t>
      </w:r>
    </w:p>
    <w:p w:rsidR="008F0E88" w:rsidRDefault="008F0E88">
      <w:pPr>
        <w:pStyle w:val="ConsPlusNormal"/>
        <w:jc w:val="right"/>
      </w:pPr>
      <w:r>
        <w:t>от 9 ноября 2015 г. N 1309</w:t>
      </w:r>
    </w:p>
    <w:p w:rsidR="008F0E88" w:rsidRDefault="008F0E88">
      <w:pPr>
        <w:pStyle w:val="ConsPlusNormal"/>
        <w:jc w:val="both"/>
      </w:pPr>
    </w:p>
    <w:p w:rsidR="008F0E88" w:rsidRDefault="008F0E88">
      <w:pPr>
        <w:pStyle w:val="ConsPlusTitle"/>
        <w:jc w:val="center"/>
      </w:pPr>
      <w:bookmarkStart w:id="0" w:name="P34"/>
      <w:bookmarkEnd w:id="0"/>
      <w:r>
        <w:t>ПОРЯДОК</w:t>
      </w:r>
    </w:p>
    <w:p w:rsidR="008F0E88" w:rsidRDefault="008F0E88">
      <w:pPr>
        <w:pStyle w:val="ConsPlusTitle"/>
        <w:jc w:val="center"/>
      </w:pPr>
      <w:r>
        <w:t>ОБЕСПЕЧЕНИЯ УСЛОВИЙ ДОСТУПНОСТИ ДЛЯ ИНВАЛИДОВ ОБЪЕКТОВ</w:t>
      </w:r>
    </w:p>
    <w:p w:rsidR="008F0E88" w:rsidRDefault="008F0E88">
      <w:pPr>
        <w:pStyle w:val="ConsPlusTitle"/>
        <w:jc w:val="center"/>
      </w:pPr>
      <w:r>
        <w:t>И ПРЕДОСТАВЛЯЕМЫХ УСЛУГ В СФЕРЕ ОБРАЗОВАНИЯ, А ТАКЖЕ</w:t>
      </w:r>
    </w:p>
    <w:p w:rsidR="008F0E88" w:rsidRDefault="008F0E88">
      <w:pPr>
        <w:pStyle w:val="ConsPlusTitle"/>
        <w:jc w:val="center"/>
      </w:pPr>
      <w:r>
        <w:t>ОКАЗАНИЯ ИМ ПРИ ЭТОМ НЕОБХОДИМОЙ ПОМОЩИ</w:t>
      </w:r>
    </w:p>
    <w:p w:rsidR="008F0E88" w:rsidRDefault="008F0E8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F0E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E88" w:rsidRDefault="008F0E8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E88" w:rsidRDefault="008F0E8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F0E88" w:rsidRDefault="008F0E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F0E88" w:rsidRDefault="008F0E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18.08.2016 N 1065)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F0E88" w:rsidRDefault="008F0E88">
            <w:pPr>
              <w:pStyle w:val="ConsPlusNormal"/>
            </w:pPr>
          </w:p>
        </w:tc>
      </w:tr>
    </w:tbl>
    <w:p w:rsidR="008F0E88" w:rsidRDefault="008F0E88">
      <w:pPr>
        <w:pStyle w:val="ConsPlusNormal"/>
        <w:jc w:val="both"/>
      </w:pPr>
    </w:p>
    <w:p w:rsidR="008F0E88" w:rsidRDefault="008F0E88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</w:t>
      </w:r>
      <w:proofErr w:type="gramEnd"/>
      <w:r>
        <w:t xml:space="preserve">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</w:t>
      </w:r>
      <w:proofErr w:type="gramStart"/>
      <w:r>
        <w:t xml:space="preserve">услуг в сфере образования, предоставляемых органами и организациями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ст. 3880; N 29, ст. 4291;</w:t>
      </w:r>
      <w:proofErr w:type="gramEnd"/>
      <w:r>
        <w:t xml:space="preserve"> </w:t>
      </w:r>
      <w:proofErr w:type="gramStart"/>
      <w:r>
        <w:t>N 30, ст. 4587; N 49, ст. 7061; 2012, N 31, ст. 4322; 2013, N 14, ст. 1651; N 27, ст. 3477, ст. 3480; N 30, ст. 4084; N 51, ст. 6679; N 52, ст. 6952, ст. 6961, ст. 7009; 2014, N 26, ст. 3366; N 30, ст. 4264; 2015, N 1, ст. 67, ст. 72;</w:t>
      </w:r>
      <w:proofErr w:type="gramEnd"/>
      <w:r>
        <w:t xml:space="preserve"> </w:t>
      </w:r>
      <w:proofErr w:type="gramStart"/>
      <w:r>
        <w:t>N 29, ст. 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  <w:proofErr w:type="gramEnd"/>
    </w:p>
    <w:p w:rsidR="008F0E88" w:rsidRDefault="008F0E88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Минобрнауки России от 18.08.2016 N 1065)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а) возможность беспрепятственного входа в объекты и выхода из них;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F0E88" w:rsidRDefault="008F0E88">
      <w:pPr>
        <w:pStyle w:val="ConsPlusNormal"/>
        <w:spacing w:before="220"/>
        <w:ind w:firstLine="540"/>
        <w:jc w:val="both"/>
      </w:pPr>
      <w:proofErr w:type="gramStart"/>
      <w: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proofErr w:type="gramStart"/>
      <w:r>
        <w:t xml:space="preserve"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10">
        <w:r>
          <w:rPr>
            <w:color w:val="0000FF"/>
          </w:rPr>
          <w:t>форме</w:t>
        </w:r>
      </w:hyperlink>
      <w:r>
        <w:t xml:space="preserve"> и в </w:t>
      </w:r>
      <w:hyperlink r:id="rId11">
        <w:r>
          <w:rPr>
            <w:color w:val="0000FF"/>
          </w:rPr>
          <w:t>порядке</w:t>
        </w:r>
      </w:hyperlink>
      <w:r>
        <w:t>, утвержденных приказом Министерства труда и социальной защиты Российской Федерации от 22 июня 2015 г. N 386н (зарегистрирован Министерством юстиции Российской Федерации 21 июля 2015 г., регистрационный N 38115).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8F0E88" w:rsidRDefault="008F0E88">
      <w:pPr>
        <w:pStyle w:val="ConsPlusNormal"/>
        <w:spacing w:before="220"/>
        <w:ind w:firstLine="540"/>
        <w:jc w:val="both"/>
      </w:pPr>
      <w:proofErr w:type="gramStart"/>
      <w: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в)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8F0E88" w:rsidRDefault="008F0E88">
      <w:pPr>
        <w:pStyle w:val="ConsPlusNormal"/>
        <w:spacing w:before="220"/>
        <w:ind w:firstLine="540"/>
        <w:jc w:val="both"/>
      </w:pPr>
      <w:proofErr w:type="gramStart"/>
      <w: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r>
        <w:t>е) обеспечение предоставления услуг тьютора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и) условия доступности услуг в сфере образования для инвалидов, предусмотренные:</w:t>
      </w:r>
    </w:p>
    <w:p w:rsidR="008F0E88" w:rsidRDefault="008F0E88">
      <w:pPr>
        <w:pStyle w:val="ConsPlusNormal"/>
        <w:spacing w:before="220"/>
        <w:ind w:firstLine="540"/>
        <w:jc w:val="both"/>
      </w:pPr>
      <w:hyperlink r:id="rId12">
        <w:proofErr w:type="gramStart"/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Министерства образования и науки Российской Федерации от 14 июня 2013 г. N 464 (зарегистрирован Министерством юстиции Российской Федерации 30 июля 2013 г., регистрационный N 29200), с изменениями, внесенными приказами Министерства образования и науки Российской Федерации от 22 января 2014 г. N 31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7 марта 2014 г., регистрационный N 31539) и от 15 декабря 2014 г. N 1580 (зарегистрирован Министерством юстиции Российской Федерации 15 января 2015 г., регистрационный N 35545);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 августа 2013 г. N 1008 (зарегистрирован Министерством юстиции Российской Федерации 27 ноября 2013 г., регистрационный N 30468);</w:t>
      </w:r>
    </w:p>
    <w:p w:rsidR="008F0E88" w:rsidRDefault="008F0E88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Российской Федерации от 30 августа 2013 г. N 1014 (зарегистрирован Министерством юстиции Российской Федерации 26 сентября 2013 г., регистрационный N 30038);</w:t>
      </w:r>
    </w:p>
    <w:p w:rsidR="008F0E88" w:rsidRDefault="008F0E88">
      <w:pPr>
        <w:pStyle w:val="ConsPlusNormal"/>
        <w:spacing w:before="220"/>
        <w:ind w:firstLine="540"/>
        <w:jc w:val="both"/>
      </w:pPr>
      <w:hyperlink r:id="rId15">
        <w:proofErr w:type="gramStart"/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 августа 2013 г. N 1015 (зарегистрирован Министерством юстиции Российской Федерации 1 октября 2013 г., регистрационный N 30067), с изменениями, внесенными приказами Министерства образования и науки Российской Федерации от 13 декабря</w:t>
      </w:r>
      <w:proofErr w:type="gramEnd"/>
      <w:r>
        <w:t xml:space="preserve"> </w:t>
      </w:r>
      <w:proofErr w:type="gramStart"/>
      <w:r>
        <w:t>2013 г., N 1342 (зарегистрирован Министерством юстиции Российской Федерации 7 февраля 2014 г., регистрационный N 31250), от 28 мая 2014 г. N 598 (зарегистрирован Министерством юстиции Российской Федерации 1 августа 2014 г., регистрационный N 33406) и от 17 июля 2015 г. N 734 (зарегистрирован Министерством юстиции Российской Федерации 13 августа 2015 г., регистрационный N 38490);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hyperlink r:id="rId16">
        <w:proofErr w:type="gramStart"/>
        <w:r>
          <w:rPr>
            <w:color w:val="0000FF"/>
          </w:rPr>
          <w:t>Порядком</w:t>
        </w:r>
      </w:hyperlink>
      <w:r>
        <w:t xml:space="preserve">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 приказом Министерства образования и науки Российской Федерации от 19 декабря 2013 г. N 1367 (зарегистрирован Министерством юстиции Российской Федерации 24 февраля 2014 г., регистрационный N 31402), с изменениями, внесенными приказом Министерства образования и науки Российской Федерации от 15 января 2015 г. N</w:t>
      </w:r>
      <w:proofErr w:type="gramEnd"/>
      <w:r>
        <w:t xml:space="preserve"> 7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11 февраля 2015 г., регистрационный N 35965).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 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 г. транспортных средств для обслуживания населения с соблюдением требований к их доступности для</w:t>
      </w:r>
      <w:proofErr w:type="gramEnd"/>
      <w:r>
        <w:t xml:space="preserve"> </w:t>
      </w:r>
      <w:proofErr w:type="gramStart"/>
      <w:r>
        <w:t xml:space="preserve">инвалидов, установленных </w:t>
      </w:r>
      <w:hyperlink r:id="rId17">
        <w:r>
          <w:rPr>
            <w:color w:val="0000FF"/>
          </w:rPr>
          <w:t>статьей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</w:t>
      </w:r>
      <w:proofErr w:type="gramEnd"/>
      <w:r>
        <w:t xml:space="preserve"> </w:t>
      </w:r>
      <w:proofErr w:type="gramStart"/>
      <w:r>
        <w:t>N 53, ст. 5024; 2002, N 1, ст. 2; N 22, ст. 2026; 2003, N 2, ст. 167; N 43, ст. 4108; 2004, N 35, ст. 3607; 2005, N 1, ст. 25; 2006, N 1, ст. 10; 2007, N 43, ст. 5084; N 49, ст. 6070; 2008, N 9, ст. 817;</w:t>
      </w:r>
      <w:proofErr w:type="gramEnd"/>
      <w:r>
        <w:t xml:space="preserve"> </w:t>
      </w:r>
      <w:proofErr w:type="gramStart"/>
      <w:r>
        <w:t>N 29, ст. 3410; N 30, ст. 3616; N 52, ст. 6224; 2009, N 18, ст. 2152; N 30, ст. 3739; 2010, N 50, ст. 6609; 2011, N 27, ст. 3880; N 30, ст. 4596; N 45, ст. 6329; N 47, ст. 6608; N 49, ст. 7033; 2012, N 29, ст. 3990;</w:t>
      </w:r>
      <w:proofErr w:type="gramEnd"/>
      <w:r>
        <w:t xml:space="preserve"> </w:t>
      </w:r>
      <w:proofErr w:type="gramStart"/>
      <w:r>
        <w:t>N 30, ст. 4175; N 53, ст. 7621; 2013, N 8, ст. 717; N 19, ст. 2331; N 27, ст. 3460, ст. 3475, ст. 3477; N 48, ст. 6160; N 52, ст. 6986; 2014, N 26, ст. 3406; N 30, ст. 4268; N 49, ст. 6928; 2015, N 14, ст. 2008;</w:t>
      </w:r>
      <w:proofErr w:type="gramEnd"/>
      <w:r>
        <w:t xml:space="preserve"> </w:t>
      </w:r>
      <w:proofErr w:type="gramStart"/>
      <w:r>
        <w:t xml:space="preserve">N 27, ст. 3967), а также норм и правил, предусмотренных </w:t>
      </w:r>
      <w:hyperlink r:id="rId18">
        <w:r>
          <w:rPr>
            <w:color w:val="0000FF"/>
          </w:rPr>
          <w:t>пунктом 41</w:t>
        </w:r>
      </w:hyperlink>
      <w: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 декабря 2014 г. N 1521 (Собрание законодательства Российской Федерации, 2015</w:t>
      </w:r>
      <w:proofErr w:type="gramEnd"/>
      <w:r>
        <w:t xml:space="preserve">, </w:t>
      </w:r>
      <w:proofErr w:type="gramStart"/>
      <w:r>
        <w:t>N 2, ст. 465).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</w:t>
      </w:r>
      <w:r>
        <w:lastRenderedPageBreak/>
        <w:t>объекта.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r>
        <w:t xml:space="preserve"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</w:t>
      </w:r>
      <w:hyperlink r:id="rId19">
        <w:r>
          <w:rPr>
            <w:color w:val="0000FF"/>
          </w:rPr>
          <w:t>паспорт</w:t>
        </w:r>
      </w:hyperlink>
      <w:r>
        <w:t xml:space="preserve"> доступности для инвалидов объекта и услуг (далее соответственно - обследование и паспортизация, Паспорт доступности).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8. Паспорт доступности содержит следующие разделы: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а) краткая характеристика объекта и предоставляемых на нем услуг;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 xml:space="preserve"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 </w:t>
      </w:r>
      <w:hyperlink w:anchor="P77">
        <w:r>
          <w:rPr>
            <w:color w:val="0000FF"/>
          </w:rPr>
          <w:t>пунктом 11</w:t>
        </w:r>
      </w:hyperlink>
      <w:r>
        <w:t xml:space="preserve"> настоящего Порядка;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 xml:space="preserve"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 </w:t>
      </w:r>
      <w:hyperlink w:anchor="P94">
        <w:r>
          <w:rPr>
            <w:color w:val="0000FF"/>
          </w:rPr>
          <w:t>пунктом 12</w:t>
        </w:r>
      </w:hyperlink>
      <w:r>
        <w:t xml:space="preserve"> настоящего Порядка;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8F0E88" w:rsidRDefault="008F0E88">
      <w:pPr>
        <w:pStyle w:val="ConsPlusNormal"/>
        <w:spacing w:before="220"/>
        <w:ind w:firstLine="540"/>
        <w:jc w:val="both"/>
      </w:pPr>
      <w:bookmarkStart w:id="1" w:name="P77"/>
      <w:bookmarkEnd w:id="1"/>
      <w: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а) удельный вес введенных с 1 июля 2016 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б) удельный вес существующих объектов, которые в результате проведения после 1 июля 2016 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8F0E88" w:rsidRDefault="008F0E88">
      <w:pPr>
        <w:pStyle w:val="ConsPlusNormal"/>
        <w:spacing w:before="220"/>
        <w:ind w:firstLine="540"/>
        <w:jc w:val="both"/>
      </w:pPr>
      <w:proofErr w:type="gramStart"/>
      <w: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proofErr w:type="gramStart"/>
      <w:r>
        <w:lastRenderedPageBreak/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r>
        <w:t>выделенные стоянки автотранспортных сре</w:t>
      </w:r>
      <w:proofErr w:type="gramStart"/>
      <w:r>
        <w:t>дств дл</w:t>
      </w:r>
      <w:proofErr w:type="gramEnd"/>
      <w:r>
        <w:t>я инвалидов;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сменные кресла-коляски;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адаптированные лифты;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поручни;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пандусы;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подъемные платформы (аппарели);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раздвижные двери;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доступные входные группы;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доступные санитарно-гигиенические помещения;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8F0E88" w:rsidRDefault="008F0E88">
      <w:pPr>
        <w:pStyle w:val="ConsPlusNormal"/>
        <w:spacing w:before="220"/>
        <w:ind w:firstLine="540"/>
        <w:jc w:val="both"/>
      </w:pPr>
      <w:proofErr w:type="gramStart"/>
      <w:r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8F0E88" w:rsidRDefault="008F0E88">
      <w:pPr>
        <w:pStyle w:val="ConsPlusNormal"/>
        <w:spacing w:before="220"/>
        <w:ind w:firstLine="540"/>
        <w:jc w:val="both"/>
      </w:pPr>
      <w:bookmarkStart w:id="2" w:name="P94"/>
      <w:bookmarkEnd w:id="2"/>
      <w: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8F0E88" w:rsidRDefault="008F0E88">
      <w:pPr>
        <w:pStyle w:val="ConsPlusNormal"/>
        <w:spacing w:before="220"/>
        <w:ind w:firstLine="540"/>
        <w:jc w:val="both"/>
      </w:pPr>
      <w:proofErr w:type="gramStart"/>
      <w: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r>
        <w:t>б) 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образования;</w:t>
      </w:r>
    </w:p>
    <w:p w:rsidR="008F0E88" w:rsidRDefault="008F0E88">
      <w:pPr>
        <w:pStyle w:val="ConsPlusNormal"/>
        <w:spacing w:before="220"/>
        <w:ind w:firstLine="540"/>
        <w:jc w:val="both"/>
      </w:pPr>
      <w:proofErr w:type="gramStart"/>
      <w: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 законодательством 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r>
        <w:lastRenderedPageBreak/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д) удельный вес услуг в сфере образования, предоставляемых инвалидам с сопровождением тьютора, от общего количества предоставляемых услуг в сфере образования;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 xml:space="preserve">з) доля детей-инвалидов в возрасте от 1,5 до 7 лет, охваченных </w:t>
      </w:r>
      <w:proofErr w:type="gramStart"/>
      <w:r>
        <w:t>дошкольным</w:t>
      </w:r>
      <w:proofErr w:type="gramEnd"/>
      <w:r>
        <w:t xml:space="preserve"> образованием, от общего числа детей-инвалидов данного возраста;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 </w:t>
      </w:r>
      <w:hyperlink r:id="rId20">
        <w:r>
          <w:rPr>
            <w:color w:val="0000FF"/>
          </w:rPr>
          <w:t>Конвенции</w:t>
        </w:r>
      </w:hyperlink>
      <w:r>
        <w:t xml:space="preserve"> о правах инвалидов от 13 декабря 2006 г. (Собрание законодательства Российской Федерации, 2013, N 6, ст. 468) предложения по принятию управленческих решений, в том числе: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r>
        <w:t xml:space="preserve">по созданию (с учетом потребностей инвалидов) условий доступности существующего объекта и предоставляемых услуг в соответствии с </w:t>
      </w:r>
      <w:hyperlink r:id="rId21">
        <w:r>
          <w:rPr>
            <w:color w:val="0000FF"/>
          </w:rPr>
          <w:t>частью 4 статьи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</w:t>
      </w:r>
      <w:proofErr w:type="gramStart"/>
      <w:r>
        <w:t>N 52, ст. 6986; 2014, N 26, ст. 3406; N 30, ст. 4268; N 49, ст. 6928; 2015, N 14, ст. 2008; N 27, ст. 3967) в случае невозможности полностью приспособить объект с учетом потребностей инвалидов до его реконструкции или капитального ремонта;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года.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 xml:space="preserve">14. </w:t>
      </w:r>
      <w:hyperlink r:id="rId22">
        <w:r>
          <w:rPr>
            <w:color w:val="0000FF"/>
          </w:rPr>
          <w:t>Паспорт</w:t>
        </w:r>
      </w:hyperlink>
      <w:r>
        <w:t xml:space="preserve"> доступности организации, разработанный Комиссией, </w:t>
      </w:r>
      <w:proofErr w:type="gramStart"/>
      <w:r>
        <w:t xml:space="preserve">утверждается </w:t>
      </w:r>
      <w:r>
        <w:lastRenderedPageBreak/>
        <w:t>руководителем организации и представляется</w:t>
      </w:r>
      <w:proofErr w:type="gramEnd"/>
      <w:r>
        <w:t xml:space="preserve"> в течение 10 рабочих дней после утверждения: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Паспорт доступности органа утверждается руководителем органа.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 xml:space="preserve">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 </w:t>
      </w:r>
      <w:hyperlink r:id="rId23">
        <w:r>
          <w:rPr>
            <w:color w:val="0000FF"/>
          </w:rPr>
          <w:t>частью 4 статьи 15</w:t>
        </w:r>
      </w:hyperlink>
      <w:r>
        <w:t xml:space="preserve"> Федерального закона от</w:t>
      </w:r>
      <w:proofErr w:type="gramEnd"/>
      <w:r>
        <w:t xml:space="preserve"> </w:t>
      </w:r>
      <w:proofErr w:type="gramStart"/>
      <w:r>
        <w:t>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2001, N 24, ст. 2410; N 33, ст. 3426; N 53, ст. 5024; 2002, N 1, ст. 2;</w:t>
      </w:r>
      <w:proofErr w:type="gramEnd"/>
      <w:r>
        <w:t xml:space="preserve"> N 22, ст. 2026; 2003, N 2, ст. 167; N 43, ст. 4108; 2004, N 35, ст. 3607; 2005, N 1, ст. 25; 2006, N 1, ст. 10; 2007, N 43, ст. 5084; N 49, ст. 6070; 2008, N 9, ст. 817; N 29, ст. 3410; N 30, ст. 3616; </w:t>
      </w:r>
      <w:proofErr w:type="gramStart"/>
      <w:r>
        <w:t>N 52, ст. 6224; 2009, N 18, ст. 2152; N 30, ст. 3739; 2010, N 50, ст. 6609; 2011, N 27, ст. 3880; N 30, ст. 4596; N 45, ст. 6329; N 47, ст. 6608; N 49, ст. 7033; 2012, N 29, ст. 3990; N 30, ст. 4175; N 53, ст. 7621;</w:t>
      </w:r>
      <w:proofErr w:type="gramEnd"/>
      <w:r>
        <w:t xml:space="preserve"> </w:t>
      </w:r>
      <w:proofErr w:type="gramStart"/>
      <w:r>
        <w:t>2013, N 8, ст. 717; N 19, ст. 2331; N 27, ст. 3460, ст. 3475, ст. 3477; N 48, ст. 6160; N 52, ст. 6986; 2014, N 26, ст. 3406; N 30, ст. 4268; N 49, ст. 6928; 2015, N 14, ст. 2008; N 27, ст. 3967).</w:t>
      </w:r>
      <w:proofErr w:type="gramEnd"/>
    </w:p>
    <w:p w:rsidR="008F0E88" w:rsidRDefault="008F0E88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 xml:space="preserve">Органы и организации, предоставляющие услуги в сфере образования, с использованием показателей, предусмотренных </w:t>
      </w:r>
      <w:hyperlink w:anchor="P77">
        <w:r>
          <w:rPr>
            <w:color w:val="0000FF"/>
          </w:rPr>
          <w:t>пунктами 11</w:t>
        </w:r>
      </w:hyperlink>
      <w:r>
        <w:t xml:space="preserve"> и </w:t>
      </w:r>
      <w:hyperlink w:anchor="P94">
        <w:r>
          <w:rPr>
            <w:color w:val="0000FF"/>
          </w:rPr>
          <w:t>12</w:t>
        </w:r>
      </w:hyperlink>
      <w:r>
        <w:t xml:space="preserve"> настоящего Порядка, а также на основании представленных Паспортов доступности разрабатывают и утверждают планы мероприятий (далее - "дорожные карты") по повышению значений показателей доступности для инвалидов объектов и услуг в соответствии с </w:t>
      </w:r>
      <w:hyperlink r:id="rId24">
        <w:r>
          <w:rPr>
            <w:color w:val="0000FF"/>
          </w:rPr>
          <w:t>Правилами</w:t>
        </w:r>
      </w:hyperlink>
      <w: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</w:t>
      </w:r>
      <w:proofErr w:type="gramEnd"/>
      <w:r>
        <w:t xml:space="preserve"> самоуправления мероприятий по повышению значений показателей доступности для инвалидов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8F0E88" w:rsidRDefault="008F0E88">
      <w:pPr>
        <w:pStyle w:val="ConsPlusNormal"/>
        <w:spacing w:before="220"/>
        <w:ind w:firstLine="540"/>
        <w:jc w:val="both"/>
      </w:pPr>
      <w:r>
        <w:t>17. "Дорожные карты",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8F0E88" w:rsidRDefault="008F0E88">
      <w:pPr>
        <w:pStyle w:val="ConsPlusNormal"/>
        <w:jc w:val="both"/>
      </w:pPr>
    </w:p>
    <w:p w:rsidR="008F0E88" w:rsidRDefault="008F0E88">
      <w:pPr>
        <w:pStyle w:val="ConsPlusNormal"/>
        <w:jc w:val="both"/>
      </w:pPr>
    </w:p>
    <w:p w:rsidR="008F0E88" w:rsidRDefault="008F0E8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0D7A" w:rsidRDefault="008F0E88">
      <w:bookmarkStart w:id="3" w:name="_GoBack"/>
      <w:bookmarkEnd w:id="3"/>
    </w:p>
    <w:sectPr w:rsidR="00F00D7A" w:rsidSect="003D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E88"/>
    <w:rsid w:val="00512E52"/>
    <w:rsid w:val="00677D99"/>
    <w:rsid w:val="008F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E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0E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0E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0E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0E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0E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8" TargetMode="External"/><Relationship Id="rId13" Type="http://schemas.openxmlformats.org/officeDocument/2006/relationships/hyperlink" Target="https://login.consultant.ru/link/?req=doc&amp;base=LAW&amp;n=155088&amp;dst=100075" TargetMode="External"/><Relationship Id="rId18" Type="http://schemas.openxmlformats.org/officeDocument/2006/relationships/hyperlink" Target="https://login.consultant.ru/link/?req=doc&amp;base=LAW&amp;n=208550&amp;dst=10009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1872&amp;dst=264" TargetMode="External"/><Relationship Id="rId7" Type="http://schemas.openxmlformats.org/officeDocument/2006/relationships/hyperlink" Target="https://login.consultant.ru/link/?req=doc&amp;base=LAW&amp;n=204206&amp;dst=100006" TargetMode="External"/><Relationship Id="rId12" Type="http://schemas.openxmlformats.org/officeDocument/2006/relationships/hyperlink" Target="https://login.consultant.ru/link/?req=doc&amp;base=LAW&amp;n=362127&amp;dst=100123" TargetMode="External"/><Relationship Id="rId17" Type="http://schemas.openxmlformats.org/officeDocument/2006/relationships/hyperlink" Target="https://login.consultant.ru/link/?req=doc&amp;base=LAW&amp;n=451872&amp;dst=262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75362&amp;dst=100215" TargetMode="External"/><Relationship Id="rId20" Type="http://schemas.openxmlformats.org/officeDocument/2006/relationships/hyperlink" Target="https://login.consultant.ru/link/?req=doc&amp;base=INT&amp;n=375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4206&amp;dst=100006" TargetMode="External"/><Relationship Id="rId11" Type="http://schemas.openxmlformats.org/officeDocument/2006/relationships/hyperlink" Target="https://login.consultant.ru/link/?req=doc&amp;base=LAW&amp;n=183496&amp;dst=100038" TargetMode="External"/><Relationship Id="rId24" Type="http://schemas.openxmlformats.org/officeDocument/2006/relationships/hyperlink" Target="https://login.consultant.ru/link/?req=doc&amp;base=LAW&amp;n=312560&amp;dst=10001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328522&amp;dst=40" TargetMode="External"/><Relationship Id="rId23" Type="http://schemas.openxmlformats.org/officeDocument/2006/relationships/hyperlink" Target="https://login.consultant.ru/link/?req=doc&amp;base=LAW&amp;n=451872&amp;dst=264" TargetMode="External"/><Relationship Id="rId10" Type="http://schemas.openxmlformats.org/officeDocument/2006/relationships/hyperlink" Target="https://login.consultant.ru/link/?req=doc&amp;base=LAW&amp;n=183496&amp;dst=100012" TargetMode="External"/><Relationship Id="rId19" Type="http://schemas.openxmlformats.org/officeDocument/2006/relationships/hyperlink" Target="https://login.consultant.ru/link/?req=doc&amp;base=LAW&amp;n=196554&amp;dst=1000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4206&amp;dst=100006" TargetMode="External"/><Relationship Id="rId14" Type="http://schemas.openxmlformats.org/officeDocument/2006/relationships/hyperlink" Target="https://login.consultant.ru/link/?req=doc&amp;base=LAW&amp;n=321064&amp;dst=100066" TargetMode="External"/><Relationship Id="rId22" Type="http://schemas.openxmlformats.org/officeDocument/2006/relationships/hyperlink" Target="https://login.consultant.ru/link/?req=doc&amp;base=LAW&amp;n=196554&amp;dst=10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4012</Words>
  <Characters>22872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Елена Станиславовна</dc:creator>
  <cp:lastModifiedBy>Радченко Елена Станиславовна</cp:lastModifiedBy>
  <cp:revision>1</cp:revision>
  <dcterms:created xsi:type="dcterms:W3CDTF">2024-04-17T07:56:00Z</dcterms:created>
  <dcterms:modified xsi:type="dcterms:W3CDTF">2024-04-17T07:56:00Z</dcterms:modified>
</cp:coreProperties>
</file>